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48" w:rsidRDefault="00C05B48">
      <w:pPr>
        <w:spacing w:after="100"/>
        <w:ind w:left="100"/>
      </w:pPr>
    </w:p>
    <w:p w:rsidR="00C05B48" w:rsidRDefault="00E10402">
      <w:pPr>
        <w:spacing w:after="96"/>
        <w:ind w:left="9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Individual Direct Assessments Rubric Worksheets </w:t>
      </w:r>
    </w:p>
    <w:p w:rsidR="00C05B48" w:rsidRDefault="00E10402">
      <w:pPr>
        <w:spacing w:after="0"/>
        <w:ind w:left="9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Ethics </w:t>
      </w:r>
    </w:p>
    <w:tbl>
      <w:tblPr>
        <w:tblStyle w:val="TableGrid"/>
        <w:tblW w:w="9576" w:type="dxa"/>
        <w:tblInd w:w="212" w:type="dxa"/>
        <w:tblCellMar>
          <w:left w:w="109" w:type="dxa"/>
          <w:right w:w="71" w:type="dxa"/>
        </w:tblCellMar>
        <w:tblLook w:val="04A0" w:firstRow="1" w:lastRow="0" w:firstColumn="1" w:lastColumn="0" w:noHBand="0" w:noVBand="1"/>
      </w:tblPr>
      <w:tblGrid>
        <w:gridCol w:w="2098"/>
        <w:gridCol w:w="1538"/>
        <w:gridCol w:w="1735"/>
        <w:gridCol w:w="1954"/>
        <w:gridCol w:w="2251"/>
      </w:tblGrid>
      <w:tr w:rsidR="00C05B48">
        <w:trPr>
          <w:trHeight w:val="665"/>
        </w:trPr>
        <w:tc>
          <w:tcPr>
            <w:tcW w:w="2098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rPr>
                <w:rFonts w:ascii="Times New Roman" w:eastAsia="Times New Roman" w:hAnsi="Times New Roman" w:cs="Times New Roman"/>
                <w:sz w:val="18"/>
              </w:rPr>
              <w:t xml:space="preserve">Rubric </w:t>
            </w:r>
          </w:p>
        </w:tc>
        <w:tc>
          <w:tcPr>
            <w:tcW w:w="5227" w:type="dxa"/>
            <w:gridSpan w:val="3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nil"/>
            </w:tcBorders>
          </w:tcPr>
          <w:p w:rsidR="00C05B48" w:rsidRDefault="00E10402">
            <w:r>
              <w:rPr>
                <w:rFonts w:ascii="Times New Roman" w:eastAsia="Times New Roman" w:hAnsi="Times New Roman" w:cs="Times New Roman"/>
                <w:sz w:val="18"/>
              </w:rPr>
              <w:t xml:space="preserve">Ethics, Security, Legal, and Social Impact (ESLSI) </w:t>
            </w:r>
          </w:p>
        </w:tc>
        <w:tc>
          <w:tcPr>
            <w:tcW w:w="2251" w:type="dxa"/>
            <w:tcBorders>
              <w:top w:val="single" w:sz="5" w:space="0" w:color="000006"/>
              <w:left w:val="nil"/>
              <w:bottom w:val="single" w:sz="5" w:space="0" w:color="000006"/>
              <w:right w:val="single" w:sz="5" w:space="0" w:color="000006"/>
            </w:tcBorders>
          </w:tcPr>
          <w:p w:rsidR="00C05B48" w:rsidRDefault="00C05B48"/>
        </w:tc>
      </w:tr>
      <w:tr w:rsidR="00C05B48">
        <w:trPr>
          <w:trHeight w:val="336"/>
        </w:trPr>
        <w:tc>
          <w:tcPr>
            <w:tcW w:w="2098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rPr>
                <w:rFonts w:ascii="Times New Roman" w:eastAsia="Times New Roman" w:hAnsi="Times New Roman" w:cs="Times New Roman"/>
                <w:sz w:val="18"/>
              </w:rPr>
              <w:t xml:space="preserve">Category of Assessment </w:t>
            </w:r>
          </w:p>
        </w:tc>
        <w:tc>
          <w:tcPr>
            <w:tcW w:w="1538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rPr>
                <w:rFonts w:ascii="Times New Roman" w:eastAsia="Times New Roman" w:hAnsi="Times New Roman" w:cs="Times New Roman"/>
                <w:sz w:val="18"/>
              </w:rPr>
              <w:t xml:space="preserve">Inadequate </w:t>
            </w:r>
          </w:p>
        </w:tc>
        <w:tc>
          <w:tcPr>
            <w:tcW w:w="1735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rPr>
                <w:rFonts w:ascii="Times New Roman" w:eastAsia="Times New Roman" w:hAnsi="Times New Roman" w:cs="Times New Roman"/>
                <w:sz w:val="18"/>
              </w:rPr>
              <w:t xml:space="preserve">Needs Improvement </w:t>
            </w:r>
          </w:p>
        </w:tc>
        <w:tc>
          <w:tcPr>
            <w:tcW w:w="1954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Adequate </w:t>
            </w:r>
          </w:p>
        </w:tc>
        <w:tc>
          <w:tcPr>
            <w:tcW w:w="2251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Excellent </w:t>
            </w:r>
          </w:p>
        </w:tc>
      </w:tr>
      <w:tr w:rsidR="00C05B48">
        <w:trPr>
          <w:trHeight w:val="1202"/>
        </w:trPr>
        <w:tc>
          <w:tcPr>
            <w:tcW w:w="2098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rPr>
                <w:rFonts w:ascii="Times New Roman" w:eastAsia="Times New Roman" w:hAnsi="Times New Roman" w:cs="Times New Roman"/>
                <w:sz w:val="18"/>
              </w:rPr>
              <w:t xml:space="preserve">Issue Recognition </w:t>
            </w:r>
          </w:p>
        </w:tc>
        <w:tc>
          <w:tcPr>
            <w:tcW w:w="1538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right="163" w:firstLine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Has no understanding of the ethical issue or stakeholders. </w:t>
            </w:r>
          </w:p>
        </w:tc>
        <w:tc>
          <w:tcPr>
            <w:tcW w:w="1735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right="4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Only partially grasps the issue at hand and cannot identify stake holders. </w:t>
            </w:r>
          </w:p>
        </w:tc>
        <w:tc>
          <w:tcPr>
            <w:tcW w:w="1954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2" w:right="9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Has some conceptual misunderstandings and can identify most of the stakeholders in the issue. </w:t>
            </w:r>
          </w:p>
        </w:tc>
        <w:tc>
          <w:tcPr>
            <w:tcW w:w="2251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2" w:right="8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Has a full understanding of the ethical issue and parties involved. </w:t>
            </w:r>
          </w:p>
        </w:tc>
      </w:tr>
      <w:tr w:rsidR="00C05B48">
        <w:trPr>
          <w:trHeight w:val="1373"/>
        </w:trPr>
        <w:tc>
          <w:tcPr>
            <w:tcW w:w="2098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rPr>
                <w:rFonts w:ascii="Times New Roman" w:eastAsia="Times New Roman" w:hAnsi="Times New Roman" w:cs="Times New Roman"/>
                <w:sz w:val="18"/>
              </w:rPr>
              <w:t xml:space="preserve">Incorporation of ESLSI </w:t>
            </w:r>
          </w:p>
        </w:tc>
        <w:tc>
          <w:tcPr>
            <w:tcW w:w="1538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rPr>
                <w:rFonts w:ascii="Times New Roman" w:eastAsia="Times New Roman" w:hAnsi="Times New Roman" w:cs="Times New Roman"/>
                <w:sz w:val="18"/>
              </w:rPr>
              <w:t xml:space="preserve">No consideration of ESLSI factors in the computing solution </w:t>
            </w:r>
          </w:p>
        </w:tc>
        <w:tc>
          <w:tcPr>
            <w:tcW w:w="1735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righ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Recognizes the issue of ESLSI, but take little consideration of ESLSI factors in the computing solution </w:t>
            </w:r>
          </w:p>
        </w:tc>
        <w:tc>
          <w:tcPr>
            <w:tcW w:w="1954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2" w:right="2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Consider most ESLSI factors in the computing solution </w:t>
            </w:r>
          </w:p>
        </w:tc>
        <w:tc>
          <w:tcPr>
            <w:tcW w:w="2251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spacing w:line="238" w:lineRule="auto"/>
              <w:ind w:left="2" w:right="7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Fully assess impact of decisions in the computing solution in terms of relevant </w:t>
            </w:r>
          </w:p>
          <w:p w:rsidR="00C05B48" w:rsidRDefault="00E104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ESLSI factors </w:t>
            </w:r>
          </w:p>
        </w:tc>
      </w:tr>
      <w:tr w:rsidR="00C05B48">
        <w:trPr>
          <w:trHeight w:val="967"/>
        </w:trPr>
        <w:tc>
          <w:tcPr>
            <w:tcW w:w="2098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rPr>
                <w:rFonts w:ascii="Times New Roman" w:eastAsia="Times New Roman" w:hAnsi="Times New Roman" w:cs="Times New Roman"/>
                <w:sz w:val="18"/>
              </w:rPr>
              <w:t xml:space="preserve">Resolution </w:t>
            </w:r>
          </w:p>
        </w:tc>
        <w:tc>
          <w:tcPr>
            <w:tcW w:w="1538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Can see no alternative course for the issue at hand. </w:t>
            </w:r>
          </w:p>
        </w:tc>
        <w:tc>
          <w:tcPr>
            <w:tcW w:w="1735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Recognizes that different views exist, but cannot identify them. </w:t>
            </w:r>
          </w:p>
        </w:tc>
        <w:tc>
          <w:tcPr>
            <w:tcW w:w="1954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Can identify a resolution and how it is different. </w:t>
            </w:r>
          </w:p>
        </w:tc>
        <w:tc>
          <w:tcPr>
            <w:tcW w:w="2251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2" w:right="27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Can identify two or more resolutions and their consequences. </w:t>
            </w:r>
          </w:p>
        </w:tc>
      </w:tr>
      <w:tr w:rsidR="00C05B48">
        <w:trPr>
          <w:trHeight w:val="1058"/>
        </w:trPr>
        <w:tc>
          <w:tcPr>
            <w:tcW w:w="2098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rPr>
                <w:rFonts w:ascii="Times New Roman" w:eastAsia="Times New Roman" w:hAnsi="Times New Roman" w:cs="Times New Roman"/>
                <w:sz w:val="18"/>
              </w:rPr>
              <w:t xml:space="preserve">Relevance </w:t>
            </w:r>
          </w:p>
        </w:tc>
        <w:tc>
          <w:tcPr>
            <w:tcW w:w="1538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right="9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Does not see how the issue affects them at all. </w:t>
            </w:r>
          </w:p>
        </w:tc>
        <w:tc>
          <w:tcPr>
            <w:tcW w:w="1735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right="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Understands relevance of the issue to personal life or professional life. </w:t>
            </w:r>
          </w:p>
        </w:tc>
        <w:tc>
          <w:tcPr>
            <w:tcW w:w="1954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2" w:right="1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Sees some relevance to own personal and professional life. </w:t>
            </w:r>
          </w:p>
        </w:tc>
        <w:tc>
          <w:tcPr>
            <w:tcW w:w="2251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2" w:right="16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Recognizes full extent of how the issues effects own life, personally and professionally. </w:t>
            </w:r>
          </w:p>
        </w:tc>
      </w:tr>
    </w:tbl>
    <w:p w:rsidR="00C05B48" w:rsidRDefault="00E10402">
      <w:pPr>
        <w:pStyle w:val="Heading2"/>
        <w:spacing w:after="0"/>
        <w:ind w:left="95" w:right="0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  </w:t>
      </w:r>
      <w:r>
        <w:rPr>
          <w:rFonts w:ascii="Times New Roman" w:eastAsia="Times New Roman" w:hAnsi="Times New Roman" w:cs="Times New Roman"/>
          <w:i w:val="0"/>
          <w:sz w:val="18"/>
        </w:rPr>
        <w:t xml:space="preserve">Assessment </w:t>
      </w:r>
    </w:p>
    <w:tbl>
      <w:tblPr>
        <w:tblStyle w:val="TableGrid"/>
        <w:tblW w:w="9576" w:type="dxa"/>
        <w:tblInd w:w="212" w:type="dxa"/>
        <w:tblCellMar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2062"/>
        <w:gridCol w:w="1565"/>
        <w:gridCol w:w="1742"/>
        <w:gridCol w:w="1970"/>
        <w:gridCol w:w="2237"/>
      </w:tblGrid>
      <w:tr w:rsidR="00C05B48">
        <w:trPr>
          <w:trHeight w:val="338"/>
        </w:trPr>
        <w:tc>
          <w:tcPr>
            <w:tcW w:w="2062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Rubric </w:t>
            </w:r>
          </w:p>
        </w:tc>
        <w:tc>
          <w:tcPr>
            <w:tcW w:w="1565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nil"/>
            </w:tcBorders>
          </w:tcPr>
          <w:p w:rsidR="00C05B48" w:rsidRDefault="00E1040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Ethics </w:t>
            </w:r>
          </w:p>
        </w:tc>
        <w:tc>
          <w:tcPr>
            <w:tcW w:w="1742" w:type="dxa"/>
            <w:tcBorders>
              <w:top w:val="single" w:sz="5" w:space="0" w:color="000006"/>
              <w:left w:val="nil"/>
              <w:bottom w:val="single" w:sz="5" w:space="0" w:color="000006"/>
              <w:right w:val="nil"/>
            </w:tcBorders>
          </w:tcPr>
          <w:p w:rsidR="00C05B48" w:rsidRDefault="00C05B48"/>
        </w:tc>
        <w:tc>
          <w:tcPr>
            <w:tcW w:w="1970" w:type="dxa"/>
            <w:tcBorders>
              <w:top w:val="single" w:sz="5" w:space="0" w:color="000006"/>
              <w:left w:val="nil"/>
              <w:bottom w:val="single" w:sz="5" w:space="0" w:color="000006"/>
              <w:right w:val="nil"/>
            </w:tcBorders>
          </w:tcPr>
          <w:p w:rsidR="00C05B48" w:rsidRDefault="00C05B48"/>
        </w:tc>
        <w:tc>
          <w:tcPr>
            <w:tcW w:w="2237" w:type="dxa"/>
            <w:tcBorders>
              <w:top w:val="single" w:sz="5" w:space="0" w:color="000006"/>
              <w:left w:val="nil"/>
              <w:bottom w:val="single" w:sz="5" w:space="0" w:color="000006"/>
              <w:right w:val="single" w:sz="5" w:space="0" w:color="000006"/>
            </w:tcBorders>
          </w:tcPr>
          <w:p w:rsidR="00C05B48" w:rsidRDefault="00C05B48"/>
        </w:tc>
      </w:tr>
      <w:tr w:rsidR="00C05B48">
        <w:trPr>
          <w:trHeight w:val="336"/>
        </w:trPr>
        <w:tc>
          <w:tcPr>
            <w:tcW w:w="2062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Category of Assessment </w:t>
            </w:r>
          </w:p>
        </w:tc>
        <w:tc>
          <w:tcPr>
            <w:tcW w:w="1565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Inadequate </w:t>
            </w:r>
          </w:p>
        </w:tc>
        <w:tc>
          <w:tcPr>
            <w:tcW w:w="1742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Needs Improvement </w:t>
            </w:r>
          </w:p>
        </w:tc>
        <w:tc>
          <w:tcPr>
            <w:tcW w:w="1970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Adequate </w:t>
            </w:r>
          </w:p>
        </w:tc>
        <w:tc>
          <w:tcPr>
            <w:tcW w:w="2237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Excellent </w:t>
            </w:r>
          </w:p>
        </w:tc>
      </w:tr>
      <w:tr w:rsidR="00C05B48">
        <w:trPr>
          <w:trHeight w:val="338"/>
        </w:trPr>
        <w:tc>
          <w:tcPr>
            <w:tcW w:w="2062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Issue Recognition </w:t>
            </w:r>
          </w:p>
        </w:tc>
        <w:tc>
          <w:tcPr>
            <w:tcW w:w="1565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t xml:space="preserve"> </w:t>
            </w:r>
          </w:p>
        </w:tc>
        <w:tc>
          <w:tcPr>
            <w:tcW w:w="1742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2"/>
            </w:pPr>
            <w:r>
              <w:t xml:space="preserve"> </w:t>
            </w:r>
          </w:p>
        </w:tc>
        <w:tc>
          <w:tcPr>
            <w:tcW w:w="1970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C05B48">
            <w:pPr>
              <w:ind w:left="113"/>
              <w:jc w:val="center"/>
            </w:pPr>
          </w:p>
        </w:tc>
        <w:tc>
          <w:tcPr>
            <w:tcW w:w="2237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C05B48">
            <w:pPr>
              <w:ind w:left="116"/>
              <w:jc w:val="center"/>
            </w:pPr>
          </w:p>
        </w:tc>
      </w:tr>
      <w:tr w:rsidR="00C05B48">
        <w:trPr>
          <w:trHeight w:val="336"/>
        </w:trPr>
        <w:tc>
          <w:tcPr>
            <w:tcW w:w="2062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Incorporation of ESLSI </w:t>
            </w:r>
          </w:p>
        </w:tc>
        <w:tc>
          <w:tcPr>
            <w:tcW w:w="1565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t xml:space="preserve"> </w:t>
            </w:r>
          </w:p>
        </w:tc>
        <w:tc>
          <w:tcPr>
            <w:tcW w:w="1742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C05B48">
            <w:pPr>
              <w:ind w:left="115"/>
              <w:jc w:val="center"/>
            </w:pPr>
          </w:p>
        </w:tc>
        <w:tc>
          <w:tcPr>
            <w:tcW w:w="1970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C05B48">
            <w:pPr>
              <w:ind w:left="119"/>
              <w:jc w:val="center"/>
            </w:pPr>
          </w:p>
        </w:tc>
        <w:tc>
          <w:tcPr>
            <w:tcW w:w="2237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C05B48">
            <w:pPr>
              <w:ind w:left="116"/>
              <w:jc w:val="center"/>
            </w:pPr>
          </w:p>
        </w:tc>
      </w:tr>
      <w:tr w:rsidR="00C05B48">
        <w:trPr>
          <w:trHeight w:val="338"/>
        </w:trPr>
        <w:tc>
          <w:tcPr>
            <w:tcW w:w="2062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Resolution </w:t>
            </w:r>
          </w:p>
        </w:tc>
        <w:tc>
          <w:tcPr>
            <w:tcW w:w="1565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t xml:space="preserve"> </w:t>
            </w:r>
          </w:p>
        </w:tc>
        <w:tc>
          <w:tcPr>
            <w:tcW w:w="1742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C05B48">
            <w:pPr>
              <w:ind w:left="115"/>
              <w:jc w:val="center"/>
            </w:pPr>
          </w:p>
        </w:tc>
        <w:tc>
          <w:tcPr>
            <w:tcW w:w="1970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C05B48">
            <w:pPr>
              <w:ind w:left="119"/>
              <w:jc w:val="center"/>
            </w:pPr>
          </w:p>
        </w:tc>
        <w:tc>
          <w:tcPr>
            <w:tcW w:w="2237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C05B48">
            <w:pPr>
              <w:ind w:left="116"/>
              <w:jc w:val="center"/>
            </w:pPr>
          </w:p>
        </w:tc>
      </w:tr>
      <w:tr w:rsidR="00C05B48">
        <w:trPr>
          <w:trHeight w:val="336"/>
        </w:trPr>
        <w:tc>
          <w:tcPr>
            <w:tcW w:w="2062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Relevance </w:t>
            </w:r>
          </w:p>
        </w:tc>
        <w:tc>
          <w:tcPr>
            <w:tcW w:w="1565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E10402">
            <w:r>
              <w:t xml:space="preserve"> </w:t>
            </w:r>
          </w:p>
        </w:tc>
        <w:tc>
          <w:tcPr>
            <w:tcW w:w="1742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C05B48">
            <w:pPr>
              <w:ind w:left="115"/>
              <w:jc w:val="center"/>
            </w:pPr>
          </w:p>
        </w:tc>
        <w:tc>
          <w:tcPr>
            <w:tcW w:w="1970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C05B48">
            <w:pPr>
              <w:ind w:left="119"/>
              <w:jc w:val="center"/>
            </w:pPr>
          </w:p>
        </w:tc>
        <w:tc>
          <w:tcPr>
            <w:tcW w:w="2237" w:type="dxa"/>
            <w:tcBorders>
              <w:top w:val="single" w:sz="5" w:space="0" w:color="000006"/>
              <w:left w:val="single" w:sz="5" w:space="0" w:color="000006"/>
              <w:bottom w:val="single" w:sz="5" w:space="0" w:color="000006"/>
              <w:right w:val="single" w:sz="5" w:space="0" w:color="000006"/>
            </w:tcBorders>
          </w:tcPr>
          <w:p w:rsidR="00C05B48" w:rsidRDefault="00C05B48">
            <w:pPr>
              <w:ind w:left="116"/>
              <w:jc w:val="center"/>
            </w:pPr>
          </w:p>
        </w:tc>
      </w:tr>
    </w:tbl>
    <w:p w:rsidR="00C05B48" w:rsidRDefault="00E10402">
      <w:pPr>
        <w:spacing w:after="106"/>
        <w:ind w:left="100"/>
      </w:pP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If 75% of the students achieve levels adequate or better, then they have met the ABET/HLC performance standard for the course. </w:t>
      </w:r>
    </w:p>
    <w:p w:rsidR="00C05B48" w:rsidRDefault="00E10402">
      <w:pPr>
        <w:spacing w:after="12"/>
        <w:ind w:left="198" w:hanging="10"/>
      </w:pPr>
      <w:r>
        <w:rPr>
          <w:rFonts w:ascii="Times New Roman" w:eastAsia="Times New Roman" w:hAnsi="Times New Roman" w:cs="Times New Roman"/>
          <w:b/>
          <w:color w:val="000006"/>
          <w:sz w:val="18"/>
        </w:rPr>
        <w:t xml:space="preserve">Summary of </w:t>
      </w:r>
    </w:p>
    <w:p w:rsidR="00C05B48" w:rsidRDefault="00E10402">
      <w:pPr>
        <w:spacing w:after="12"/>
        <w:ind w:left="198" w:hanging="10"/>
      </w:pPr>
      <w:r>
        <w:rPr>
          <w:rFonts w:ascii="Times New Roman" w:eastAsia="Times New Roman" w:hAnsi="Times New Roman" w:cs="Times New Roman"/>
          <w:b/>
          <w:color w:val="000006"/>
          <w:sz w:val="18"/>
        </w:rPr>
        <w:t xml:space="preserve">Assessment </w:t>
      </w:r>
    </w:p>
    <w:p w:rsidR="00C05B48" w:rsidRDefault="00E10402">
      <w:pPr>
        <w:pStyle w:val="Heading2"/>
        <w:spacing w:after="82"/>
        <w:ind w:left="213" w:right="0"/>
      </w:pPr>
      <w:r>
        <w:rPr>
          <w:rFonts w:ascii="Times New Roman" w:eastAsia="Times New Roman" w:hAnsi="Times New Roman" w:cs="Times New Roman"/>
          <w:i w:val="0"/>
          <w:sz w:val="18"/>
        </w:rPr>
        <w:t>Improvement</w:t>
      </w:r>
      <w:r>
        <w:rPr>
          <w:rFonts w:ascii="Times New Roman" w:eastAsia="Times New Roman" w:hAnsi="Times New Roman" w:cs="Times New Roman"/>
          <w:b w:val="0"/>
          <w:i w:val="0"/>
          <w:sz w:val="18"/>
        </w:rPr>
        <w:t xml:space="preserve"> </w:t>
      </w:r>
    </w:p>
    <w:p w:rsidR="00C05B48" w:rsidRDefault="00E10402">
      <w:pPr>
        <w:spacing w:after="0"/>
        <w:ind w:left="204"/>
      </w:pPr>
      <w:r>
        <w:rPr>
          <w:rFonts w:ascii="Times New Roman" w:eastAsia="Times New Roman" w:hAnsi="Times New Roman" w:cs="Times New Roman"/>
          <w:sz w:val="16"/>
        </w:rPr>
        <w:t xml:space="preserve">Students meet departmental standards in the Ethics, Security, Legal, and Social Impact (ESLSI) Rubric. </w:t>
      </w:r>
    </w:p>
    <w:p w:rsidR="00C05B48" w:rsidRDefault="00E10402">
      <w:pPr>
        <w:spacing w:after="101"/>
        <w:ind w:left="10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05B48" w:rsidRDefault="00E10402">
      <w:pPr>
        <w:spacing w:after="161"/>
        <w:ind w:left="100"/>
      </w:pPr>
      <w:r>
        <w:rPr>
          <w:rFonts w:ascii="Times New Roman" w:eastAsia="Times New Roman" w:hAnsi="Times New Roman" w:cs="Times New Roman"/>
          <w:sz w:val="18"/>
        </w:rPr>
        <w:t xml:space="preserve">   Assessed By: </w:t>
      </w:r>
      <w:r w:rsidR="00107921">
        <w:rPr>
          <w:rFonts w:ascii="Times New Roman" w:eastAsia="Times New Roman" w:hAnsi="Times New Roman" w:cs="Times New Roman"/>
          <w:sz w:val="18"/>
          <w:u w:val="single" w:color="000000"/>
        </w:rPr>
        <w:t>_____________________________________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                           </w:t>
      </w:r>
      <w:r w:rsidR="00107921">
        <w:rPr>
          <w:rFonts w:ascii="Times New Roman" w:eastAsia="Times New Roman" w:hAnsi="Times New Roman" w:cs="Times New Roman"/>
          <w:sz w:val="18"/>
          <w:u w:val="single" w:color="000000"/>
        </w:rPr>
        <w:t>Date: _________________</w:t>
      </w:r>
    </w:p>
    <w:p w:rsidR="00C05B48" w:rsidRDefault="00E10402">
      <w:pPr>
        <w:spacing w:after="304"/>
        <w:ind w:left="10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05B48" w:rsidRDefault="00E10402">
      <w:pPr>
        <w:spacing w:after="96"/>
        <w:ind w:left="1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5B48" w:rsidRDefault="00E10402">
      <w:pPr>
        <w:spacing w:after="0"/>
        <w:ind w:left="1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05B48" w:rsidSect="00107921">
      <w:footerReference w:type="even" r:id="rId6"/>
      <w:footerReference w:type="default" r:id="rId7"/>
      <w:footerReference w:type="first" r:id="rId8"/>
      <w:pgSz w:w="12240" w:h="15840"/>
      <w:pgMar w:top="882" w:right="1438" w:bottom="764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4F" w:rsidRDefault="00525B4F">
      <w:pPr>
        <w:spacing w:after="0" w:line="240" w:lineRule="auto"/>
      </w:pPr>
      <w:r>
        <w:separator/>
      </w:r>
    </w:p>
  </w:endnote>
  <w:endnote w:type="continuationSeparator" w:id="0">
    <w:p w:rsidR="00525B4F" w:rsidRDefault="0052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48" w:rsidRDefault="00E10402">
    <w:pPr>
      <w:spacing w:after="0"/>
    </w:pPr>
    <w:r>
      <w:rPr>
        <w:sz w:val="20"/>
      </w:rPr>
      <w:t xml:space="preserve"> </w:t>
    </w:r>
    <w:r>
      <w:rPr>
        <w:rFonts w:ascii="Arial" w:eastAsia="Arial" w:hAnsi="Arial" w:cs="Arial"/>
      </w:rPr>
      <w:t xml:space="preserve">Gottfried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48" w:rsidRDefault="00E10402">
    <w:pPr>
      <w:spacing w:after="0"/>
    </w:pPr>
    <w:r>
      <w:rPr>
        <w:sz w:val="20"/>
      </w:rPr>
      <w:t xml:space="preserve"> </w:t>
    </w:r>
    <w:r>
      <w:rPr>
        <w:rFonts w:ascii="Arial" w:eastAsia="Arial" w:hAnsi="Arial" w:cs="Arial"/>
      </w:rPr>
      <w:t xml:space="preserve">Gottfried </w:t>
    </w:r>
    <w:r>
      <w:fldChar w:fldCharType="begin"/>
    </w:r>
    <w:r>
      <w:instrText xml:space="preserve"> PAGE   \* MERGEFORMAT </w:instrText>
    </w:r>
    <w:r>
      <w:fldChar w:fldCharType="separate"/>
    </w:r>
    <w:r w:rsidR="00107921" w:rsidRPr="00107921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48" w:rsidRDefault="00E10402">
    <w:pPr>
      <w:spacing w:after="0"/>
    </w:pPr>
    <w:r>
      <w:rPr>
        <w:sz w:val="20"/>
      </w:rPr>
      <w:t xml:space="preserve"> </w:t>
    </w:r>
    <w:r>
      <w:rPr>
        <w:rFonts w:ascii="Arial" w:eastAsia="Arial" w:hAnsi="Arial" w:cs="Arial"/>
      </w:rPr>
      <w:t xml:space="preserve">Gottfried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4F" w:rsidRDefault="00525B4F">
      <w:pPr>
        <w:spacing w:after="0" w:line="240" w:lineRule="auto"/>
      </w:pPr>
      <w:r>
        <w:separator/>
      </w:r>
    </w:p>
  </w:footnote>
  <w:footnote w:type="continuationSeparator" w:id="0">
    <w:p w:rsidR="00525B4F" w:rsidRDefault="00525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48"/>
    <w:rsid w:val="000225DC"/>
    <w:rsid w:val="00107921"/>
    <w:rsid w:val="00525B4F"/>
    <w:rsid w:val="00C05B48"/>
    <w:rsid w:val="00E1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9BB2A-A0EB-407E-B38E-6B07506A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62" w:lineRule="auto"/>
      <w:ind w:left="111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9"/>
      <w:ind w:left="111" w:right="2" w:hanging="10"/>
      <w:outlineLvl w:val="1"/>
    </w:pPr>
    <w:rPr>
      <w:rFonts w:ascii="Arial" w:eastAsia="Arial" w:hAnsi="Arial" w:cs="Arial"/>
      <w:b/>
      <w:i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2"/>
      <w:ind w:left="11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Christina</dc:creator>
  <cp:keywords/>
  <cp:lastModifiedBy>McMillin, Bruce M.</cp:lastModifiedBy>
  <cp:revision>2</cp:revision>
  <cp:lastPrinted>2017-04-26T13:21:00Z</cp:lastPrinted>
  <dcterms:created xsi:type="dcterms:W3CDTF">2017-04-26T13:23:00Z</dcterms:created>
  <dcterms:modified xsi:type="dcterms:W3CDTF">2017-04-26T13:23:00Z</dcterms:modified>
</cp:coreProperties>
</file>